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  <w:r w:rsidRPr="0092715F">
        <w:rPr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8987A5D" wp14:editId="3C9B3806">
            <wp:simplePos x="0" y="0"/>
            <wp:positionH relativeFrom="column">
              <wp:posOffset>2881630</wp:posOffset>
            </wp:positionH>
            <wp:positionV relativeFrom="paragraph">
              <wp:posOffset>-102235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СОВЕТ ДЕПУТАТОВ</w:t>
      </w: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МУРЫГИНСКОГО  СЕЛЬСКОГО ПОСЕЛЕНИЯ</w:t>
      </w: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ПОЧИНКОВСКОГО РАЙОНА СМОЛЕНСКОЙ ОБЛАСТИ</w:t>
      </w: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  <w:r w:rsidRPr="0092715F">
        <w:rPr>
          <w:b/>
          <w:bCs/>
          <w:sz w:val="28"/>
          <w:szCs w:val="28"/>
        </w:rPr>
        <w:t>РЕШЕНИЕ</w:t>
      </w: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rPr>
          <w:b/>
          <w:bCs/>
          <w:sz w:val="28"/>
          <w:szCs w:val="28"/>
        </w:rPr>
      </w:pPr>
      <w:r w:rsidRPr="0092715F">
        <w:rPr>
          <w:b/>
          <w:bCs/>
          <w:sz w:val="28"/>
          <w:szCs w:val="28"/>
        </w:rPr>
        <w:t xml:space="preserve"> </w:t>
      </w:r>
      <w:r w:rsidRPr="0092715F">
        <w:rPr>
          <w:bCs/>
          <w:sz w:val="28"/>
          <w:szCs w:val="28"/>
        </w:rPr>
        <w:t>от</w:t>
      </w:r>
      <w:r w:rsidRPr="0092715F">
        <w:rPr>
          <w:b/>
          <w:bCs/>
          <w:sz w:val="28"/>
          <w:szCs w:val="28"/>
        </w:rPr>
        <w:t xml:space="preserve"> </w:t>
      </w:r>
      <w:r w:rsidR="00D7278B">
        <w:rPr>
          <w:sz w:val="28"/>
          <w:szCs w:val="28"/>
        </w:rPr>
        <w:t>15.06.</w:t>
      </w:r>
      <w:r w:rsidRPr="0092715F">
        <w:rPr>
          <w:sz w:val="28"/>
          <w:szCs w:val="28"/>
        </w:rPr>
        <w:t xml:space="preserve">2022 года      № </w:t>
      </w:r>
      <w:r w:rsidR="00D7278B">
        <w:rPr>
          <w:sz w:val="28"/>
          <w:szCs w:val="28"/>
        </w:rPr>
        <w:t>14</w:t>
      </w:r>
    </w:p>
    <w:p w:rsidR="0092715F" w:rsidRPr="0092715F" w:rsidRDefault="0092715F" w:rsidP="0092715F">
      <w:pPr>
        <w:rPr>
          <w:b/>
          <w:bCs/>
          <w:sz w:val="28"/>
          <w:szCs w:val="28"/>
        </w:rPr>
      </w:pPr>
    </w:p>
    <w:p w:rsidR="0092715F" w:rsidRPr="0092715F" w:rsidRDefault="0092715F" w:rsidP="0092715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 xml:space="preserve">депутатов </w:t>
      </w:r>
      <w:proofErr w:type="spellStart"/>
      <w:r w:rsidRPr="0092715F">
        <w:rPr>
          <w:bCs/>
          <w:color w:val="000000"/>
          <w:sz w:val="28"/>
          <w:szCs w:val="28"/>
        </w:rPr>
        <w:t>Мурыгинского</w:t>
      </w:r>
      <w:proofErr w:type="spellEnd"/>
      <w:r w:rsidRPr="0092715F">
        <w:rPr>
          <w:bCs/>
          <w:color w:val="000000"/>
          <w:sz w:val="28"/>
          <w:szCs w:val="28"/>
        </w:rPr>
        <w:t xml:space="preserve"> сельского поселения </w:t>
      </w: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proofErr w:type="spellStart"/>
      <w:r w:rsidRPr="0092715F">
        <w:rPr>
          <w:bCs/>
          <w:color w:val="000000"/>
          <w:sz w:val="28"/>
          <w:szCs w:val="28"/>
        </w:rPr>
        <w:t>Починковского</w:t>
      </w:r>
      <w:proofErr w:type="spellEnd"/>
      <w:r w:rsidRPr="0092715F">
        <w:rPr>
          <w:bCs/>
          <w:color w:val="000000"/>
          <w:sz w:val="28"/>
          <w:szCs w:val="28"/>
        </w:rPr>
        <w:t xml:space="preserve"> района Смоленской области </w:t>
      </w:r>
    </w:p>
    <w:p w:rsidR="0092715F" w:rsidRPr="0092715F" w:rsidRDefault="0092715F" w:rsidP="00F03907">
      <w:pPr>
        <w:rPr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>от 16.11.2021г. №</w:t>
      </w:r>
      <w:r w:rsidR="00B54B55">
        <w:rPr>
          <w:bCs/>
          <w:color w:val="000000"/>
          <w:sz w:val="28"/>
          <w:szCs w:val="28"/>
        </w:rPr>
        <w:t xml:space="preserve"> </w:t>
      </w:r>
      <w:r w:rsidRPr="0092715F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9</w:t>
      </w:r>
      <w:r w:rsidRPr="0092715F">
        <w:rPr>
          <w:bCs/>
          <w:color w:val="000000"/>
          <w:sz w:val="28"/>
          <w:szCs w:val="28"/>
        </w:rPr>
        <w:t xml:space="preserve"> </w:t>
      </w:r>
    </w:p>
    <w:p w:rsidR="0092715F" w:rsidRPr="0092715F" w:rsidRDefault="0092715F" w:rsidP="0092715F">
      <w:pPr>
        <w:shd w:val="clear" w:color="auto" w:fill="FFFFFF"/>
        <w:ind w:firstLine="567"/>
        <w:rPr>
          <w:b/>
          <w:color w:val="000000"/>
        </w:rPr>
      </w:pPr>
    </w:p>
    <w:p w:rsidR="0092715F" w:rsidRPr="0092715F" w:rsidRDefault="0092715F" w:rsidP="0092715F">
      <w:pPr>
        <w:spacing w:line="276" w:lineRule="auto"/>
        <w:ind w:firstLine="709"/>
        <w:jc w:val="both"/>
        <w:rPr>
          <w:sz w:val="28"/>
          <w:szCs w:val="28"/>
        </w:rPr>
      </w:pPr>
      <w:r w:rsidRPr="0092715F">
        <w:rPr>
          <w:color w:val="000000"/>
          <w:sz w:val="28"/>
          <w:szCs w:val="28"/>
        </w:rPr>
        <w:t xml:space="preserve">В соответствии </w:t>
      </w:r>
      <w:r w:rsidR="00B54B55">
        <w:rPr>
          <w:color w:val="000000"/>
          <w:sz w:val="28"/>
          <w:szCs w:val="28"/>
        </w:rPr>
        <w:t xml:space="preserve">с </w:t>
      </w:r>
      <w:r w:rsidRPr="0092715F">
        <w:rPr>
          <w:color w:val="000000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92715F">
        <w:rPr>
          <w:sz w:val="28"/>
          <w:szCs w:val="28"/>
        </w:rPr>
        <w:t>Мурыгинского</w:t>
      </w:r>
      <w:proofErr w:type="spellEnd"/>
      <w:r w:rsidRPr="0092715F">
        <w:rPr>
          <w:sz w:val="28"/>
          <w:szCs w:val="28"/>
        </w:rPr>
        <w:t xml:space="preserve"> сельского поселения </w:t>
      </w:r>
      <w:proofErr w:type="spellStart"/>
      <w:r w:rsidRPr="0092715F">
        <w:rPr>
          <w:sz w:val="28"/>
          <w:szCs w:val="28"/>
        </w:rPr>
        <w:t>Починковского</w:t>
      </w:r>
      <w:proofErr w:type="spellEnd"/>
      <w:r w:rsidRPr="0092715F">
        <w:rPr>
          <w:sz w:val="28"/>
          <w:szCs w:val="28"/>
        </w:rPr>
        <w:t xml:space="preserve"> района Смоленской области, </w:t>
      </w:r>
    </w:p>
    <w:p w:rsidR="0092715F" w:rsidRPr="0092715F" w:rsidRDefault="0092715F" w:rsidP="0092715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2715F">
        <w:rPr>
          <w:rFonts w:eastAsia="Calibri"/>
          <w:sz w:val="28"/>
          <w:szCs w:val="28"/>
          <w:lang w:eastAsia="en-US"/>
        </w:rPr>
        <w:t xml:space="preserve">Совет депутатов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715F">
        <w:rPr>
          <w:b/>
          <w:color w:val="000000"/>
          <w:sz w:val="28"/>
          <w:szCs w:val="28"/>
        </w:rPr>
        <w:t>РЕШИЛ</w:t>
      </w:r>
      <w:r w:rsidRPr="0092715F">
        <w:rPr>
          <w:sz w:val="28"/>
          <w:szCs w:val="28"/>
        </w:rPr>
        <w:t>: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6759DF">
        <w:rPr>
          <w:color w:val="000000" w:themeColor="text1"/>
          <w:sz w:val="28"/>
          <w:szCs w:val="28"/>
        </w:rPr>
        <w:t>Положение</w:t>
      </w:r>
      <w:r w:rsidR="006759DF" w:rsidRPr="00555D09">
        <w:rPr>
          <w:color w:val="000000" w:themeColor="text1"/>
          <w:sz w:val="28"/>
          <w:szCs w:val="28"/>
        </w:rPr>
        <w:t xml:space="preserve"> о муниципальном </w:t>
      </w:r>
      <w:r w:rsidR="006759DF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759DF">
        <w:rPr>
          <w:color w:val="000000" w:themeColor="text1"/>
          <w:sz w:val="28"/>
          <w:szCs w:val="28"/>
        </w:rPr>
        <w:t>Мурыгинского</w:t>
      </w:r>
      <w:proofErr w:type="spellEnd"/>
      <w:r w:rsidR="006759D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759DF">
        <w:rPr>
          <w:color w:val="000000" w:themeColor="text1"/>
          <w:sz w:val="28"/>
          <w:szCs w:val="28"/>
        </w:rPr>
        <w:t>Починковского</w:t>
      </w:r>
      <w:proofErr w:type="spellEnd"/>
      <w:r w:rsidR="006759DF">
        <w:rPr>
          <w:color w:val="000000" w:themeColor="text1"/>
          <w:sz w:val="28"/>
          <w:szCs w:val="28"/>
        </w:rPr>
        <w:t xml:space="preserve"> района Смоленской области, утвержденное</w:t>
      </w:r>
      <w:r w:rsidR="006759DF" w:rsidRPr="001367DE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решение</w:t>
      </w:r>
      <w:r w:rsidR="006759DF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92715F" w:rsidRPr="0092715F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92715F" w:rsidRPr="0092715F">
        <w:rPr>
          <w:color w:val="000000"/>
          <w:sz w:val="28"/>
          <w:szCs w:val="28"/>
        </w:rPr>
        <w:t>Мурыгинского</w:t>
      </w:r>
      <w:proofErr w:type="spellEnd"/>
      <w:r w:rsidR="0092715F" w:rsidRPr="0092715F">
        <w:rPr>
          <w:color w:val="000000"/>
          <w:sz w:val="28"/>
          <w:szCs w:val="28"/>
        </w:rPr>
        <w:t xml:space="preserve"> сельского поселения</w:t>
      </w:r>
      <w:r w:rsidR="0092715F">
        <w:rPr>
          <w:color w:val="000000"/>
          <w:sz w:val="28"/>
          <w:szCs w:val="28"/>
        </w:rPr>
        <w:t xml:space="preserve"> </w:t>
      </w:r>
      <w:proofErr w:type="spellStart"/>
      <w:r w:rsidR="0092715F">
        <w:rPr>
          <w:color w:val="000000"/>
          <w:sz w:val="28"/>
          <w:szCs w:val="28"/>
        </w:rPr>
        <w:t>Починковского</w:t>
      </w:r>
      <w:proofErr w:type="spellEnd"/>
      <w:r w:rsidR="0092715F">
        <w:rPr>
          <w:color w:val="000000"/>
          <w:sz w:val="28"/>
          <w:szCs w:val="28"/>
        </w:rPr>
        <w:t xml:space="preserve"> района Смоленской области  от </w:t>
      </w:r>
      <w:r w:rsidR="0092715F" w:rsidRPr="0092715F">
        <w:rPr>
          <w:color w:val="000000"/>
          <w:sz w:val="28"/>
          <w:szCs w:val="28"/>
        </w:rPr>
        <w:t>16.11. 2021 № 2</w:t>
      </w:r>
      <w:r w:rsidR="0092715F">
        <w:rPr>
          <w:color w:val="000000"/>
          <w:sz w:val="28"/>
          <w:szCs w:val="28"/>
        </w:rPr>
        <w:t>9</w:t>
      </w:r>
      <w:r w:rsidR="0092715F" w:rsidRPr="0092715F">
        <w:rPr>
          <w:color w:val="000000"/>
          <w:sz w:val="28"/>
          <w:szCs w:val="28"/>
        </w:rPr>
        <w:t xml:space="preserve">  </w:t>
      </w:r>
      <w:r w:rsidR="00090886" w:rsidRPr="00555D09">
        <w:rPr>
          <w:color w:val="000000" w:themeColor="text1"/>
          <w:sz w:val="28"/>
          <w:szCs w:val="28"/>
        </w:rPr>
        <w:t>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="006759DF">
        <w:rPr>
          <w:color w:val="000000" w:themeColor="text1"/>
          <w:sz w:val="28"/>
          <w:szCs w:val="28"/>
        </w:rPr>
        <w:t xml:space="preserve">.2 </w:t>
      </w:r>
      <w:r w:rsidRPr="00555D0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0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0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92715F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92715F" w:rsidRPr="0092715F" w:rsidRDefault="0092715F" w:rsidP="009271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715F">
        <w:rPr>
          <w:color w:val="000000"/>
          <w:sz w:val="28"/>
          <w:szCs w:val="28"/>
        </w:rPr>
        <w:t xml:space="preserve">2. </w:t>
      </w:r>
      <w:r w:rsidR="00B54B55">
        <w:rPr>
          <w:sz w:val="28"/>
          <w:szCs w:val="28"/>
        </w:rPr>
        <w:t>Данное решение распространяет свое действие на правоотношения, возникшие с 01.03.2022 года.</w:t>
      </w:r>
    </w:p>
    <w:p w:rsidR="0092715F" w:rsidRPr="0092715F" w:rsidRDefault="0092715F" w:rsidP="0092715F">
      <w:pPr>
        <w:shd w:val="clear" w:color="auto" w:fill="FFFFFF"/>
        <w:spacing w:line="322" w:lineRule="exac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715F">
        <w:rPr>
          <w:color w:val="000000"/>
          <w:sz w:val="28"/>
          <w:szCs w:val="28"/>
        </w:rPr>
        <w:lastRenderedPageBreak/>
        <w:t>3.</w:t>
      </w:r>
      <w:r w:rsidRPr="009271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92715F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9271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2715F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Pr="0092715F">
        <w:rPr>
          <w:sz w:val="28"/>
          <w:szCs w:val="28"/>
        </w:rPr>
        <w:t xml:space="preserve">Администрации </w:t>
      </w:r>
      <w:proofErr w:type="spellStart"/>
      <w:r w:rsidRPr="0092715F">
        <w:rPr>
          <w:sz w:val="28"/>
          <w:szCs w:val="28"/>
        </w:rPr>
        <w:t>Мурыгинского</w:t>
      </w:r>
      <w:proofErr w:type="spellEnd"/>
      <w:r w:rsidRPr="0092715F">
        <w:rPr>
          <w:sz w:val="28"/>
          <w:szCs w:val="28"/>
        </w:rPr>
        <w:t xml:space="preserve"> сельского поселения </w:t>
      </w:r>
      <w:proofErr w:type="spellStart"/>
      <w:r w:rsidRPr="0092715F">
        <w:rPr>
          <w:sz w:val="28"/>
          <w:szCs w:val="28"/>
        </w:rPr>
        <w:t>Починковского</w:t>
      </w:r>
      <w:proofErr w:type="spellEnd"/>
      <w:r w:rsidRPr="0092715F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92715F" w:rsidRPr="0092715F" w:rsidRDefault="0092715F" w:rsidP="009271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2715F" w:rsidRDefault="0092715F" w:rsidP="009271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2715F" w:rsidRPr="0092715F" w:rsidRDefault="0092715F" w:rsidP="009271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92715F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2715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2715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района</w:t>
      </w:r>
    </w:p>
    <w:p w:rsidR="0092715F" w:rsidRPr="0092715F" w:rsidRDefault="0092715F" w:rsidP="0092715F">
      <w:pPr>
        <w:tabs>
          <w:tab w:val="num" w:pos="200"/>
          <w:tab w:val="center" w:pos="4890"/>
        </w:tabs>
        <w:outlineLvl w:val="0"/>
      </w:pPr>
      <w:r w:rsidRPr="0092715F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 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И.В.Наумов</w:t>
      </w:r>
      <w:proofErr w:type="spellEnd"/>
    </w:p>
    <w:p w:rsidR="0092715F" w:rsidRPr="0092715F" w:rsidRDefault="0092715F" w:rsidP="0092715F">
      <w:pPr>
        <w:spacing w:line="240" w:lineRule="exact"/>
        <w:ind w:left="5398"/>
        <w:jc w:val="center"/>
        <w:rPr>
          <w:b/>
          <w:color w:val="000000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F03907" w:rsidRDefault="00F03907" w:rsidP="00354979">
      <w:pPr>
        <w:ind w:left="4536"/>
        <w:jc w:val="center"/>
        <w:rPr>
          <w:color w:val="000000" w:themeColor="text1"/>
        </w:rPr>
      </w:pPr>
    </w:p>
    <w:p w:rsidR="00F03907" w:rsidRDefault="00F03907" w:rsidP="00354979">
      <w:pPr>
        <w:ind w:left="4536"/>
        <w:jc w:val="center"/>
        <w:rPr>
          <w:color w:val="000000" w:themeColor="text1"/>
        </w:rPr>
      </w:pPr>
    </w:p>
    <w:p w:rsidR="00F03907" w:rsidRDefault="00F03907" w:rsidP="00354979">
      <w:pPr>
        <w:ind w:left="4536"/>
        <w:jc w:val="center"/>
        <w:rPr>
          <w:color w:val="000000" w:themeColor="text1"/>
        </w:rPr>
      </w:pPr>
    </w:p>
    <w:p w:rsidR="00F03907" w:rsidRDefault="00F03907" w:rsidP="00354979">
      <w:pPr>
        <w:ind w:left="4536"/>
        <w:jc w:val="center"/>
        <w:rPr>
          <w:color w:val="000000" w:themeColor="text1"/>
        </w:rPr>
      </w:pPr>
    </w:p>
    <w:p w:rsidR="00F03907" w:rsidRDefault="00F03907" w:rsidP="00354979">
      <w:pPr>
        <w:ind w:left="4536"/>
        <w:jc w:val="center"/>
        <w:rPr>
          <w:color w:val="000000" w:themeColor="text1"/>
        </w:rPr>
      </w:pPr>
    </w:p>
    <w:p w:rsidR="006759DF" w:rsidRDefault="006759DF" w:rsidP="00354979">
      <w:pPr>
        <w:ind w:left="4536"/>
        <w:jc w:val="center"/>
        <w:rPr>
          <w:color w:val="000000" w:themeColor="text1"/>
        </w:rPr>
      </w:pPr>
    </w:p>
    <w:p w:rsidR="006759DF" w:rsidRDefault="006759DF" w:rsidP="00354979">
      <w:pPr>
        <w:ind w:left="4536"/>
        <w:jc w:val="center"/>
        <w:rPr>
          <w:color w:val="000000" w:themeColor="text1"/>
        </w:rPr>
      </w:pPr>
    </w:p>
    <w:p w:rsidR="006759DF" w:rsidRDefault="006759DF" w:rsidP="00354979">
      <w:pPr>
        <w:ind w:left="4536"/>
        <w:jc w:val="center"/>
        <w:rPr>
          <w:color w:val="000000" w:themeColor="text1"/>
        </w:rPr>
      </w:pPr>
    </w:p>
    <w:p w:rsidR="006759DF" w:rsidRDefault="006759DF" w:rsidP="00354979">
      <w:pPr>
        <w:ind w:left="4536"/>
        <w:jc w:val="center"/>
        <w:rPr>
          <w:color w:val="000000" w:themeColor="text1"/>
        </w:rPr>
      </w:pPr>
    </w:p>
    <w:p w:rsidR="00C14A27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</w:p>
    <w:p w:rsidR="00CD52AD" w:rsidRDefault="00C14A27" w:rsidP="00C14A27">
      <w:pPr>
        <w:ind w:left="4536"/>
        <w:jc w:val="center"/>
        <w:rPr>
          <w:bCs/>
          <w:color w:val="000000"/>
        </w:rPr>
      </w:pPr>
      <w:r>
        <w:rPr>
          <w:color w:val="000000" w:themeColor="text1"/>
        </w:rPr>
        <w:t xml:space="preserve">к </w:t>
      </w:r>
      <w:r w:rsidR="00354979" w:rsidRPr="00555D09">
        <w:rPr>
          <w:color w:val="000000" w:themeColor="text1"/>
        </w:rPr>
        <w:t xml:space="preserve">решению </w:t>
      </w:r>
      <w:r w:rsidRPr="00C14A27">
        <w:rPr>
          <w:bCs/>
          <w:color w:val="000000"/>
        </w:rPr>
        <w:t xml:space="preserve">Совета депутатов </w:t>
      </w:r>
      <w:proofErr w:type="spellStart"/>
      <w:r w:rsidRPr="00C14A27">
        <w:rPr>
          <w:bCs/>
          <w:color w:val="000000"/>
        </w:rPr>
        <w:t>Мурыгинского</w:t>
      </w:r>
      <w:proofErr w:type="spellEnd"/>
      <w:r w:rsidRPr="00C14A27">
        <w:rPr>
          <w:bCs/>
          <w:color w:val="000000"/>
        </w:rPr>
        <w:t xml:space="preserve"> </w:t>
      </w:r>
    </w:p>
    <w:p w:rsidR="00C14A27" w:rsidRDefault="00C14A27" w:rsidP="00C14A27">
      <w:pPr>
        <w:ind w:left="4536"/>
        <w:jc w:val="center"/>
        <w:rPr>
          <w:color w:val="000000" w:themeColor="text1"/>
        </w:rPr>
      </w:pPr>
      <w:r w:rsidRPr="00C14A27">
        <w:rPr>
          <w:bCs/>
          <w:color w:val="000000"/>
        </w:rPr>
        <w:t xml:space="preserve">сельского поселения </w:t>
      </w:r>
      <w:proofErr w:type="spellStart"/>
      <w:r w:rsidRPr="00C14A27">
        <w:rPr>
          <w:bCs/>
          <w:color w:val="000000"/>
        </w:rPr>
        <w:t>Починковского</w:t>
      </w:r>
      <w:proofErr w:type="spellEnd"/>
      <w:r w:rsidRPr="00C14A27">
        <w:rPr>
          <w:bCs/>
          <w:color w:val="000000"/>
        </w:rPr>
        <w:t xml:space="preserve"> района Смоленской  области</w:t>
      </w:r>
      <w:r w:rsidRPr="00555D09">
        <w:rPr>
          <w:color w:val="000000" w:themeColor="text1"/>
        </w:rPr>
        <w:t xml:space="preserve"> </w:t>
      </w:r>
    </w:p>
    <w:p w:rsidR="00354979" w:rsidRPr="00555D09" w:rsidRDefault="00354979" w:rsidP="00C14A27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D7278B">
        <w:rPr>
          <w:color w:val="000000" w:themeColor="text1"/>
        </w:rPr>
        <w:t>15.06.</w:t>
      </w:r>
      <w:bookmarkStart w:id="1" w:name="_GoBack"/>
      <w:bookmarkEnd w:id="1"/>
      <w:r w:rsidRPr="00555D09">
        <w:rPr>
          <w:color w:val="000000" w:themeColor="text1"/>
        </w:rPr>
        <w:t>202</w:t>
      </w:r>
      <w:r w:rsidR="00DC62CA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D7278B">
        <w:rPr>
          <w:color w:val="000000" w:themeColor="text1"/>
        </w:rPr>
        <w:t>14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proofErr w:type="spellStart"/>
      <w:r w:rsidR="00CD52AD">
        <w:rPr>
          <w:rFonts w:ascii="Times New Roman" w:hAnsi="Times New Roman" w:cs="Times New Roman"/>
          <w:color w:val="000000" w:themeColor="text1"/>
          <w:sz w:val="24"/>
          <w:szCs w:val="24"/>
        </w:rPr>
        <w:t>Мурыгинского</w:t>
      </w:r>
      <w:proofErr w:type="spellEnd"/>
      <w:r w:rsidR="00CD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CD52AD"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</w:t>
      </w:r>
      <w:proofErr w:type="spellEnd"/>
      <w:r w:rsidR="00CD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CD52AD">
        <w:rPr>
          <w:sz w:val="28"/>
          <w:szCs w:val="28"/>
        </w:rPr>
        <w:t>Мурыгинского</w:t>
      </w:r>
      <w:proofErr w:type="spellEnd"/>
      <w:r w:rsidR="00CD52AD">
        <w:rPr>
          <w:sz w:val="28"/>
          <w:szCs w:val="28"/>
        </w:rPr>
        <w:t xml:space="preserve"> сельского поселения </w:t>
      </w:r>
      <w:proofErr w:type="spellStart"/>
      <w:r w:rsidR="00CD52AD">
        <w:rPr>
          <w:sz w:val="28"/>
          <w:szCs w:val="28"/>
        </w:rPr>
        <w:t>Починковского</w:t>
      </w:r>
      <w:proofErr w:type="spellEnd"/>
      <w:r w:rsidR="00CD52AD">
        <w:rPr>
          <w:sz w:val="28"/>
          <w:szCs w:val="28"/>
        </w:rPr>
        <w:t xml:space="preserve"> района Смоленской</w:t>
      </w:r>
      <w:r w:rsidR="00DD175C">
        <w:rPr>
          <w:sz w:val="28"/>
          <w:szCs w:val="28"/>
        </w:rPr>
        <w:t xml:space="preserve"> </w:t>
      </w:r>
      <w:r w:rsidR="00CD52AD">
        <w:rPr>
          <w:sz w:val="28"/>
          <w:szCs w:val="28"/>
        </w:rPr>
        <w:t>области</w:t>
      </w:r>
      <w:r w:rsidR="00862B42" w:rsidRPr="00862B42">
        <w:rPr>
          <w:sz w:val="28"/>
          <w:szCs w:val="28"/>
        </w:rPr>
        <w:t xml:space="preserve"> </w:t>
      </w: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для городского или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E4282F" w:rsidRDefault="00E4282F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DD175C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75C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75C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75C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75C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907" w:rsidRDefault="00F03907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907" w:rsidRDefault="00F03907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FF0983" w:rsidRPr="00555D09" w:rsidRDefault="00DD175C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Мурыгинского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</w:t>
      </w:r>
      <w:r w:rsidR="00DD175C">
        <w:rPr>
          <w:sz w:val="28"/>
          <w:szCs w:val="28"/>
        </w:rPr>
        <w:t xml:space="preserve">пунктов </w:t>
      </w:r>
      <w:proofErr w:type="spellStart"/>
      <w:r w:rsidR="00DD175C">
        <w:rPr>
          <w:sz w:val="28"/>
          <w:szCs w:val="28"/>
        </w:rPr>
        <w:t>Мурыгинского</w:t>
      </w:r>
      <w:proofErr w:type="spellEnd"/>
      <w:r w:rsidR="00DD175C">
        <w:rPr>
          <w:sz w:val="28"/>
          <w:szCs w:val="28"/>
        </w:rPr>
        <w:t xml:space="preserve"> сельского поселения </w:t>
      </w:r>
      <w:proofErr w:type="spellStart"/>
      <w:r w:rsidR="00DD175C">
        <w:rPr>
          <w:sz w:val="28"/>
          <w:szCs w:val="28"/>
        </w:rPr>
        <w:t>Починковского</w:t>
      </w:r>
      <w:proofErr w:type="spellEnd"/>
      <w:r w:rsidR="00DD175C">
        <w:rPr>
          <w:sz w:val="28"/>
          <w:szCs w:val="28"/>
        </w:rPr>
        <w:t xml:space="preserve"> района Смоленской области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автомобильном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</w:t>
            </w:r>
            <w:r w:rsidRPr="002A3662">
              <w:rPr>
                <w:sz w:val="20"/>
                <w:szCs w:val="20"/>
              </w:rPr>
              <w:lastRenderedPageBreak/>
              <w:t>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</w:t>
            </w:r>
            <w:r w:rsidRPr="002A3662">
              <w:rPr>
                <w:sz w:val="20"/>
                <w:szCs w:val="20"/>
              </w:rPr>
              <w:lastRenderedPageBreak/>
              <w:t>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лицами в досудебном порядке </w:t>
            </w:r>
            <w:r w:rsidRPr="002A3662">
              <w:rPr>
                <w:sz w:val="20"/>
                <w:szCs w:val="20"/>
              </w:rPr>
              <w:lastRenderedPageBreak/>
              <w:t>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контролю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ОТ), а также суммы затрат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  <w:proofErr w:type="gramEnd"/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sectPr w:rsidR="00C0126C" w:rsidSect="00E4282F">
      <w:headerReference w:type="even" r:id="rId10"/>
      <w:headerReference w:type="default" r:id="rId11"/>
      <w:pgSz w:w="11900" w:h="16840"/>
      <w:pgMar w:top="993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4B" w:rsidRDefault="00EF234B" w:rsidP="00165F1F">
      <w:r>
        <w:separator/>
      </w:r>
    </w:p>
  </w:endnote>
  <w:endnote w:type="continuationSeparator" w:id="0">
    <w:p w:rsidR="00EF234B" w:rsidRDefault="00EF234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4B" w:rsidRDefault="00EF234B" w:rsidP="00165F1F">
      <w:r>
        <w:separator/>
      </w:r>
    </w:p>
  </w:footnote>
  <w:footnote w:type="continuationSeparator" w:id="0">
    <w:p w:rsidR="00EF234B" w:rsidRDefault="00EF234B" w:rsidP="00165F1F">
      <w:r>
        <w:continuationSeparator/>
      </w:r>
    </w:p>
  </w:footnote>
  <w:footnote w:id="1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2791E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C6199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130F7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23509"/>
    <w:rsid w:val="00430A25"/>
    <w:rsid w:val="004420E1"/>
    <w:rsid w:val="0047105B"/>
    <w:rsid w:val="004762E5"/>
    <w:rsid w:val="00495311"/>
    <w:rsid w:val="004B51E1"/>
    <w:rsid w:val="004C34D9"/>
    <w:rsid w:val="004C5DCB"/>
    <w:rsid w:val="00514C76"/>
    <w:rsid w:val="00544514"/>
    <w:rsid w:val="00555D09"/>
    <w:rsid w:val="00563C1F"/>
    <w:rsid w:val="0058100A"/>
    <w:rsid w:val="005B3716"/>
    <w:rsid w:val="005C0FB1"/>
    <w:rsid w:val="005E4A0F"/>
    <w:rsid w:val="00613962"/>
    <w:rsid w:val="006660B7"/>
    <w:rsid w:val="006759DF"/>
    <w:rsid w:val="006E1A57"/>
    <w:rsid w:val="006F0BA5"/>
    <w:rsid w:val="00701A7F"/>
    <w:rsid w:val="0072791E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2715F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443B4"/>
    <w:rsid w:val="00B53044"/>
    <w:rsid w:val="00B54B55"/>
    <w:rsid w:val="00B671E7"/>
    <w:rsid w:val="00B718B7"/>
    <w:rsid w:val="00B72118"/>
    <w:rsid w:val="00B754CA"/>
    <w:rsid w:val="00B83EAD"/>
    <w:rsid w:val="00B86B05"/>
    <w:rsid w:val="00BA2C8D"/>
    <w:rsid w:val="00BA675E"/>
    <w:rsid w:val="00BE13DB"/>
    <w:rsid w:val="00BE2CF1"/>
    <w:rsid w:val="00C00A30"/>
    <w:rsid w:val="00C0126C"/>
    <w:rsid w:val="00C14A27"/>
    <w:rsid w:val="00C762F7"/>
    <w:rsid w:val="00C7636B"/>
    <w:rsid w:val="00C834DE"/>
    <w:rsid w:val="00CB6B7B"/>
    <w:rsid w:val="00CC133B"/>
    <w:rsid w:val="00CD34C5"/>
    <w:rsid w:val="00CD52AD"/>
    <w:rsid w:val="00CE551F"/>
    <w:rsid w:val="00CF7D4E"/>
    <w:rsid w:val="00D01293"/>
    <w:rsid w:val="00D44F90"/>
    <w:rsid w:val="00D7278B"/>
    <w:rsid w:val="00DC158F"/>
    <w:rsid w:val="00DC62CA"/>
    <w:rsid w:val="00DD175C"/>
    <w:rsid w:val="00DF6F7A"/>
    <w:rsid w:val="00E41448"/>
    <w:rsid w:val="00E41F27"/>
    <w:rsid w:val="00E4282F"/>
    <w:rsid w:val="00E75B69"/>
    <w:rsid w:val="00E92C26"/>
    <w:rsid w:val="00EB5BEB"/>
    <w:rsid w:val="00EE11A6"/>
    <w:rsid w:val="00EE42D5"/>
    <w:rsid w:val="00EF234B"/>
    <w:rsid w:val="00EF4A80"/>
    <w:rsid w:val="00EF63D5"/>
    <w:rsid w:val="00F00FC2"/>
    <w:rsid w:val="00F03907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AC12-EF59-4790-9BA9-3EE33F13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30</cp:revision>
  <cp:lastPrinted>2022-02-01T10:29:00Z</cp:lastPrinted>
  <dcterms:created xsi:type="dcterms:W3CDTF">2021-11-30T11:06:00Z</dcterms:created>
  <dcterms:modified xsi:type="dcterms:W3CDTF">2022-06-15T08:16:00Z</dcterms:modified>
</cp:coreProperties>
</file>