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D" w:rsidRDefault="0048628D" w:rsidP="00E87C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0E9" w:rsidRPr="003B023D" w:rsidRDefault="009860E9" w:rsidP="009860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-142875</wp:posOffset>
            </wp:positionV>
            <wp:extent cx="628650" cy="716280"/>
            <wp:effectExtent l="19050" t="0" r="0" b="0"/>
            <wp:wrapTight wrapText="bothSides">
              <wp:wrapPolygon edited="0">
                <wp:start x="8509" y="0"/>
                <wp:lineTo x="3273" y="2872"/>
                <wp:lineTo x="-655" y="16660"/>
                <wp:lineTo x="655" y="21255"/>
                <wp:lineTo x="1309" y="21255"/>
                <wp:lineTo x="19636" y="21255"/>
                <wp:lineTo x="20291" y="21255"/>
                <wp:lineTo x="21600" y="18957"/>
                <wp:lineTo x="21600" y="8043"/>
                <wp:lineTo x="14400" y="574"/>
                <wp:lineTo x="12436" y="0"/>
                <wp:lineTo x="8509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23D">
        <w:rPr>
          <w:b/>
          <w:bCs/>
          <w:sz w:val="28"/>
          <w:szCs w:val="28"/>
        </w:rPr>
        <w:t>ПРОЕКТ</w:t>
      </w:r>
    </w:p>
    <w:p w:rsidR="009860E9" w:rsidRPr="003B023D" w:rsidRDefault="009860E9" w:rsidP="009860E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860E9" w:rsidRPr="003B023D" w:rsidRDefault="009860E9" w:rsidP="009860E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860E9" w:rsidRPr="0073350A" w:rsidRDefault="009860E9" w:rsidP="009860E9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73350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860E9" w:rsidRPr="0073350A" w:rsidRDefault="009860E9" w:rsidP="009860E9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73350A">
        <w:rPr>
          <w:rFonts w:ascii="Times New Roman" w:hAnsi="Times New Roman"/>
          <w:b/>
          <w:sz w:val="28"/>
          <w:szCs w:val="28"/>
        </w:rPr>
        <w:t>МУРЫГИНСКОГО СЕЛЬСКОГО ПОСЕЛЕНИЯ</w:t>
      </w:r>
    </w:p>
    <w:p w:rsidR="009860E9" w:rsidRPr="0073350A" w:rsidRDefault="009860E9" w:rsidP="009860E9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73350A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9860E9" w:rsidRPr="0073350A" w:rsidRDefault="009860E9" w:rsidP="009860E9">
      <w:pPr>
        <w:pStyle w:val="afc"/>
        <w:jc w:val="both"/>
        <w:rPr>
          <w:rFonts w:ascii="Times New Roman" w:hAnsi="Times New Roman"/>
          <w:b/>
          <w:sz w:val="28"/>
          <w:szCs w:val="28"/>
        </w:rPr>
      </w:pPr>
    </w:p>
    <w:p w:rsidR="00832257" w:rsidRPr="00E87C48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E5638D" w:rsidRDefault="00832257" w:rsidP="0083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«_____» _____________ 2022 г.                                                                № _____</w:t>
      </w:r>
    </w:p>
    <w:p w:rsidR="00832257" w:rsidRPr="00E5638D" w:rsidRDefault="00832257" w:rsidP="00832257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7C48" w:rsidRDefault="00832257" w:rsidP="008322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</w:p>
    <w:p w:rsidR="00832257" w:rsidRPr="009860E9" w:rsidRDefault="00832257" w:rsidP="008322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860E9" w:rsidRPr="009860E9">
        <w:rPr>
          <w:rFonts w:ascii="Times New Roman" w:hAnsi="Times New Roman"/>
          <w:b/>
          <w:bCs/>
          <w:sz w:val="28"/>
          <w:szCs w:val="28"/>
        </w:rPr>
        <w:t>Мурыгинского</w:t>
      </w:r>
      <w:r w:rsidR="009860E9" w:rsidRPr="009860E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9860E9" w:rsidRPr="009860E9"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="009860E9" w:rsidRPr="009860E9">
        <w:rPr>
          <w:rFonts w:ascii="Times New Roman" w:hAnsi="Times New Roman"/>
          <w:b/>
          <w:sz w:val="28"/>
          <w:szCs w:val="28"/>
        </w:rPr>
        <w:t xml:space="preserve"> района  Смоленской области</w:t>
      </w:r>
    </w:p>
    <w:p w:rsidR="00832257" w:rsidRPr="00E5638D" w:rsidRDefault="00832257" w:rsidP="00832257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26B5B" w:rsidRPr="0073350A" w:rsidRDefault="00676DC7" w:rsidP="00D26B5B">
      <w:pPr>
        <w:tabs>
          <w:tab w:val="left" w:pos="720"/>
        </w:tabs>
        <w:spacing w:before="100" w:before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</w:t>
      </w:r>
      <w:r w:rsidR="00D26B5B" w:rsidRPr="0073350A">
        <w:rPr>
          <w:rFonts w:ascii="Times New Roman" w:hAnsi="Times New Roman"/>
          <w:sz w:val="28"/>
          <w:szCs w:val="28"/>
        </w:rPr>
        <w:t xml:space="preserve">Уставом Мурыгинского сельского поселения </w:t>
      </w:r>
      <w:proofErr w:type="spellStart"/>
      <w:r w:rsidR="00D26B5B" w:rsidRPr="0073350A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26B5B" w:rsidRPr="0073350A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Мурыгинского  сельского поселения </w:t>
      </w:r>
      <w:proofErr w:type="spellStart"/>
      <w:r w:rsidR="00D26B5B" w:rsidRPr="0073350A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26B5B" w:rsidRPr="0073350A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32A62" w:rsidRPr="00D26B5B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proofErr w:type="gramStart"/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B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proofErr w:type="gramEnd"/>
    </w:p>
    <w:p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D26B5B" w:rsidRPr="0073350A">
        <w:rPr>
          <w:rFonts w:ascii="Times New Roman" w:hAnsi="Times New Roman"/>
          <w:sz w:val="28"/>
          <w:szCs w:val="28"/>
        </w:rPr>
        <w:t xml:space="preserve">Мурыгинского сельского поселения </w:t>
      </w:r>
      <w:proofErr w:type="spellStart"/>
      <w:r w:rsidR="00D26B5B" w:rsidRPr="0073350A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26B5B" w:rsidRPr="0073350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26B5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:rsidR="00D26B5B" w:rsidRDefault="00D26B5B" w:rsidP="00D26B5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50A">
        <w:rPr>
          <w:rFonts w:ascii="Times New Roman" w:hAnsi="Times New Roman"/>
          <w:sz w:val="28"/>
          <w:szCs w:val="28"/>
        </w:rPr>
        <w:t xml:space="preserve">решение Совета депутатов Мурыгинского сельского поселения </w:t>
      </w:r>
      <w:proofErr w:type="spellStart"/>
      <w:r w:rsidRPr="0073350A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73350A"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Pr="006078F8">
        <w:rPr>
          <w:rFonts w:ascii="Times New Roman" w:hAnsi="Times New Roman"/>
          <w:color w:val="000000"/>
          <w:sz w:val="28"/>
          <w:szCs w:val="28"/>
        </w:rPr>
        <w:t>13.02.2018 г. № 3</w:t>
      </w:r>
      <w:r w:rsidR="00E03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50A">
        <w:rPr>
          <w:rFonts w:ascii="Times New Roman" w:hAnsi="Times New Roman"/>
          <w:sz w:val="28"/>
          <w:szCs w:val="28"/>
        </w:rPr>
        <w:t>«</w:t>
      </w:r>
      <w:r w:rsidRPr="0073350A">
        <w:rPr>
          <w:rFonts w:ascii="Times New Roman" w:hAnsi="Times New Roman"/>
          <w:bCs/>
          <w:sz w:val="28"/>
          <w:szCs w:val="28"/>
        </w:rPr>
        <w:t xml:space="preserve">Об утверждении Правил благоустройства муниципального образования Мурыгинского сельского поселения </w:t>
      </w:r>
      <w:proofErr w:type="spellStart"/>
      <w:r w:rsidRPr="0073350A">
        <w:rPr>
          <w:rFonts w:ascii="Times New Roman" w:hAnsi="Times New Roman"/>
          <w:bCs/>
          <w:sz w:val="28"/>
          <w:szCs w:val="28"/>
        </w:rPr>
        <w:t>Починковского</w:t>
      </w:r>
      <w:proofErr w:type="spellEnd"/>
      <w:r w:rsidRPr="0073350A">
        <w:rPr>
          <w:rFonts w:ascii="Times New Roman" w:hAnsi="Times New Roman"/>
          <w:bCs/>
          <w:sz w:val="28"/>
          <w:szCs w:val="28"/>
        </w:rPr>
        <w:t xml:space="preserve"> района Смоленской области»</w:t>
      </w:r>
    </w:p>
    <w:p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3. </w:t>
      </w:r>
      <w:r w:rsidR="00D26B5B" w:rsidRPr="0073350A">
        <w:rPr>
          <w:rFonts w:ascii="Times New Roman" w:hAnsi="Times New Roman"/>
          <w:sz w:val="28"/>
          <w:szCs w:val="28"/>
        </w:rPr>
        <w:t xml:space="preserve">Обнародовать настоящее решение и разместить на официальном сайте Администрации Мурыгинского сельского поселения </w:t>
      </w:r>
      <w:proofErr w:type="spellStart"/>
      <w:r w:rsidR="00D26B5B" w:rsidRPr="0073350A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26B5B" w:rsidRPr="0073350A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системе «Интернет».</w:t>
      </w:r>
    </w:p>
    <w:p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со дня его официального </w:t>
      </w:r>
      <w:r w:rsidR="00D26B5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обнародования.</w:t>
      </w:r>
    </w:p>
    <w:p w:rsidR="008373CD" w:rsidRPr="00E5638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Pr="0073350A" w:rsidRDefault="00D26B5B" w:rsidP="00D26B5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73350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6B5B" w:rsidRPr="0073350A" w:rsidRDefault="00D26B5B" w:rsidP="00D26B5B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73350A">
        <w:rPr>
          <w:rFonts w:ascii="Times New Roman" w:hAnsi="Times New Roman"/>
          <w:sz w:val="28"/>
          <w:szCs w:val="28"/>
        </w:rPr>
        <w:t>Мурыгинского сельского поселения</w:t>
      </w:r>
    </w:p>
    <w:p w:rsidR="00D26B5B" w:rsidRPr="0073350A" w:rsidRDefault="00D26B5B" w:rsidP="00D26B5B">
      <w:pPr>
        <w:pStyle w:val="afc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50A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73350A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И.В.Наумов</w:t>
      </w:r>
    </w:p>
    <w:p w:rsidR="00C96682" w:rsidRPr="008E12C5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Default="00D26B5B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09F" w:rsidRDefault="00E030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B5B" w:rsidRPr="006078F8" w:rsidRDefault="00D26B5B" w:rsidP="00D26B5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078F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26B5B" w:rsidRPr="006078F8" w:rsidRDefault="00D26B5B" w:rsidP="00D26B5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078F8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:rsidR="00D26B5B" w:rsidRPr="006078F8" w:rsidRDefault="00D26B5B" w:rsidP="00D26B5B">
      <w:pPr>
        <w:tabs>
          <w:tab w:val="left" w:pos="72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078F8">
        <w:rPr>
          <w:rFonts w:ascii="Times New Roman" w:hAnsi="Times New Roman"/>
          <w:sz w:val="28"/>
          <w:szCs w:val="28"/>
        </w:rPr>
        <w:t xml:space="preserve">Мурыгинского сельского поселения </w:t>
      </w:r>
    </w:p>
    <w:p w:rsidR="00D26B5B" w:rsidRPr="006078F8" w:rsidRDefault="00D26B5B" w:rsidP="00D26B5B">
      <w:pPr>
        <w:tabs>
          <w:tab w:val="left" w:pos="72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078F8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6078F8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6078F8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6078F8">
        <w:rPr>
          <w:rFonts w:ascii="Times New Roman" w:hAnsi="Times New Roman"/>
          <w:sz w:val="28"/>
          <w:szCs w:val="28"/>
        </w:rPr>
        <w:t xml:space="preserve"> </w:t>
      </w:r>
    </w:p>
    <w:p w:rsidR="00D26B5B" w:rsidRPr="006078F8" w:rsidRDefault="00D26B5B" w:rsidP="00D26B5B">
      <w:pPr>
        <w:tabs>
          <w:tab w:val="left" w:pos="72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078F8">
        <w:rPr>
          <w:rFonts w:ascii="Times New Roman" w:hAnsi="Times New Roman"/>
          <w:sz w:val="28"/>
          <w:szCs w:val="28"/>
        </w:rPr>
        <w:t>области от ______.2022 г.  № ____</w:t>
      </w:r>
    </w:p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E5638D" w:rsidRDefault="00C96682" w:rsidP="00B1640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FE2A2F" w:rsidRPr="00B1640E" w:rsidRDefault="00B1640E" w:rsidP="00B164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64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МУРЫГИНСКОГО СЕЛЬСКОГО ПОСЕЛЕНИЯ ПОЧИНКОВСКОГО РАЙОНА СМОЛЕНСКОЙ ОБЛАСТИ</w:t>
      </w:r>
    </w:p>
    <w:p w:rsidR="00B1640E" w:rsidRPr="00E5638D" w:rsidRDefault="00B1640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0" w:name="1"/>
      <w:bookmarkEnd w:id="0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территории</w:t>
      </w:r>
      <w:r w:rsidR="00D26B5B" w:rsidRPr="00D26B5B">
        <w:rPr>
          <w:szCs w:val="28"/>
        </w:rPr>
        <w:t xml:space="preserve"> </w:t>
      </w:r>
      <w:r w:rsidR="00D26B5B" w:rsidRPr="00D26B5B"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proofErr w:type="spellStart"/>
      <w:r w:rsidR="00D26B5B" w:rsidRPr="00D26B5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26B5B" w:rsidRPr="00D26B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26B5B" w:rsidRPr="00D26B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1" w:name="3"/>
      <w:bookmarkEnd w:id="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D26B5B" w:rsidP="00D26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D26B5B" w:rsidP="00D26B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="00457D7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457D7A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2" w:name="_Hlk5026116"/>
      <w:r w:rsidRPr="008F6E14">
        <w:rPr>
          <w:sz w:val="28"/>
          <w:szCs w:val="28"/>
        </w:rPr>
        <w:t xml:space="preserve">поселения </w:t>
      </w:r>
      <w:bookmarkEnd w:id="2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D26B5B" w:rsidRPr="00D26B5B"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proofErr w:type="spellStart"/>
      <w:r w:rsidR="00D26B5B" w:rsidRPr="00D26B5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26B5B" w:rsidRPr="00D26B5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26B5B" w:rsidRPr="00D2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расположенных по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134228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0236279"/>
      <w:bookmarkStart w:id="5" w:name="_Hlk6844862"/>
      <w:r w:rsidRPr="00134228">
        <w:rPr>
          <w:rFonts w:ascii="Times New Roman" w:hAnsi="Times New Roman" w:cs="Times New Roman"/>
          <w:sz w:val="28"/>
          <w:szCs w:val="28"/>
        </w:rPr>
        <w:t>3.</w:t>
      </w:r>
      <w:r w:rsidR="008C79B7" w:rsidRPr="00134228">
        <w:rPr>
          <w:rFonts w:ascii="Times New Roman" w:hAnsi="Times New Roman" w:cs="Times New Roman"/>
          <w:sz w:val="28"/>
          <w:szCs w:val="28"/>
        </w:rPr>
        <w:t>3</w:t>
      </w:r>
      <w:r w:rsidRPr="00134228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bookmarkEnd w:id="5"/>
      <w:r w:rsidR="00C76893" w:rsidRPr="00134228">
        <w:rPr>
          <w:rFonts w:ascii="Times New Roman" w:hAnsi="Times New Roman" w:cs="Times New Roman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228">
        <w:rPr>
          <w:rFonts w:ascii="Times New Roman" w:hAnsi="Times New Roman" w:cs="Times New Roman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</w:t>
      </w:r>
      <w:r w:rsidR="005D3A7B" w:rsidRPr="00134228">
        <w:rPr>
          <w:rFonts w:ascii="Times New Roman" w:hAnsi="Times New Roman" w:cs="Times New Roman"/>
          <w:sz w:val="28"/>
          <w:szCs w:val="28"/>
        </w:rPr>
        <w:t>2</w:t>
      </w:r>
      <w:r w:rsidR="000819E0" w:rsidRPr="00134228">
        <w:rPr>
          <w:rFonts w:ascii="Times New Roman" w:hAnsi="Times New Roman" w:cs="Times New Roman"/>
          <w:sz w:val="28"/>
          <w:szCs w:val="28"/>
        </w:rPr>
        <w:t xml:space="preserve"> метр</w:t>
      </w:r>
      <w:r w:rsidR="005D3A7B" w:rsidRPr="00134228">
        <w:rPr>
          <w:rFonts w:ascii="Times New Roman" w:hAnsi="Times New Roman" w:cs="Times New Roman"/>
          <w:sz w:val="28"/>
          <w:szCs w:val="28"/>
        </w:rPr>
        <w:t>а</w:t>
      </w:r>
      <w:r w:rsidR="000819E0"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Pr="00134228">
        <w:rPr>
          <w:rFonts w:ascii="Times New Roman" w:hAnsi="Times New Roman" w:cs="Times New Roman"/>
          <w:sz w:val="28"/>
          <w:szCs w:val="28"/>
        </w:rPr>
        <w:t>по всему периметру от границы земельного участка;</w:t>
      </w:r>
      <w:proofErr w:type="gramEnd"/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5D3A7B" w:rsidRPr="00134228">
        <w:rPr>
          <w:rFonts w:ascii="Times New Roman" w:hAnsi="Times New Roman" w:cs="Times New Roman"/>
          <w:sz w:val="28"/>
          <w:szCs w:val="28"/>
        </w:rPr>
        <w:t>2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</w:t>
      </w:r>
      <w:r w:rsidR="005D3A7B" w:rsidRPr="00134228">
        <w:rPr>
          <w:rFonts w:ascii="Times New Roman" w:hAnsi="Times New Roman" w:cs="Times New Roman"/>
          <w:sz w:val="28"/>
          <w:szCs w:val="28"/>
        </w:rPr>
        <w:t>а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228">
        <w:rPr>
          <w:rFonts w:ascii="Times New Roman" w:hAnsi="Times New Roman" w:cs="Times New Roman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5D3A7B" w:rsidRPr="00134228">
        <w:rPr>
          <w:rFonts w:ascii="Times New Roman" w:hAnsi="Times New Roman" w:cs="Times New Roman"/>
          <w:sz w:val="28"/>
          <w:szCs w:val="28"/>
        </w:rPr>
        <w:t>3</w:t>
      </w:r>
      <w:r w:rsidR="00134228"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</w:t>
      </w:r>
      <w:r w:rsidR="005D3A7B" w:rsidRPr="00134228">
        <w:rPr>
          <w:rFonts w:ascii="Times New Roman" w:hAnsi="Times New Roman" w:cs="Times New Roman"/>
          <w:sz w:val="28"/>
          <w:szCs w:val="28"/>
        </w:rPr>
        <w:t>а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5D3A7B" w:rsidRPr="00134228">
        <w:rPr>
          <w:rFonts w:ascii="Times New Roman" w:hAnsi="Times New Roman" w:cs="Times New Roman"/>
          <w:sz w:val="28"/>
          <w:szCs w:val="28"/>
        </w:rPr>
        <w:t>10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</w:t>
      </w:r>
      <w:r w:rsidRPr="00134228">
        <w:rPr>
          <w:rFonts w:ascii="Times New Roman" w:hAnsi="Times New Roman" w:cs="Times New Roman"/>
          <w:sz w:val="28"/>
          <w:szCs w:val="28"/>
        </w:rPr>
        <w:lastRenderedPageBreak/>
        <w:t>исключением случая, установленного п</w:t>
      </w:r>
      <w:r w:rsidR="00D94E6C" w:rsidRPr="00134228">
        <w:rPr>
          <w:rFonts w:ascii="Times New Roman" w:hAnsi="Times New Roman" w:cs="Times New Roman"/>
          <w:sz w:val="28"/>
          <w:szCs w:val="28"/>
        </w:rPr>
        <w:t>одпунктом</w:t>
      </w:r>
      <w:r w:rsidRPr="00134228">
        <w:rPr>
          <w:rFonts w:ascii="Times New Roman" w:hAnsi="Times New Roman" w:cs="Times New Roman"/>
          <w:sz w:val="28"/>
          <w:szCs w:val="28"/>
        </w:rPr>
        <w:t xml:space="preserve"> 11 настояще</w:t>
      </w:r>
      <w:r w:rsidR="00D94E6C" w:rsidRPr="00134228">
        <w:rPr>
          <w:rFonts w:ascii="Times New Roman" w:hAnsi="Times New Roman" w:cs="Times New Roman"/>
          <w:sz w:val="28"/>
          <w:szCs w:val="28"/>
        </w:rPr>
        <w:t>го пункта</w:t>
      </w:r>
      <w:r w:rsidRPr="00134228">
        <w:rPr>
          <w:rFonts w:ascii="Times New Roman" w:hAnsi="Times New Roman" w:cs="Times New Roman"/>
          <w:sz w:val="28"/>
          <w:szCs w:val="28"/>
        </w:rPr>
        <w:t xml:space="preserve">, - </w:t>
      </w:r>
      <w:r w:rsidR="005D3A7B" w:rsidRPr="00134228">
        <w:rPr>
          <w:rFonts w:ascii="Times New Roman" w:hAnsi="Times New Roman" w:cs="Times New Roman"/>
          <w:sz w:val="28"/>
          <w:szCs w:val="28"/>
        </w:rPr>
        <w:t xml:space="preserve">5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5D3A7B" w:rsidRPr="00134228">
        <w:rPr>
          <w:rFonts w:ascii="Times New Roman" w:hAnsi="Times New Roman" w:cs="Times New Roman"/>
          <w:sz w:val="28"/>
          <w:szCs w:val="28"/>
        </w:rPr>
        <w:t>15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 w:rsidRPr="00134228">
        <w:rPr>
          <w:rFonts w:ascii="Times New Roman" w:hAnsi="Times New Roman" w:cs="Times New Roman"/>
          <w:sz w:val="28"/>
          <w:szCs w:val="28"/>
        </w:rPr>
        <w:t>одпунктом</w:t>
      </w:r>
      <w:r w:rsidRPr="00134228">
        <w:rPr>
          <w:rFonts w:ascii="Times New Roman" w:hAnsi="Times New Roman" w:cs="Times New Roman"/>
          <w:sz w:val="28"/>
          <w:szCs w:val="28"/>
        </w:rPr>
        <w:t xml:space="preserve"> 10 настояще</w:t>
      </w:r>
      <w:r w:rsidR="00D94E6C" w:rsidRPr="00134228">
        <w:rPr>
          <w:rFonts w:ascii="Times New Roman" w:hAnsi="Times New Roman" w:cs="Times New Roman"/>
          <w:sz w:val="28"/>
          <w:szCs w:val="28"/>
        </w:rPr>
        <w:t xml:space="preserve">го пункта </w:t>
      </w:r>
      <w:r w:rsidRPr="00134228">
        <w:rPr>
          <w:rFonts w:ascii="Times New Roman" w:hAnsi="Times New Roman" w:cs="Times New Roman"/>
          <w:sz w:val="28"/>
          <w:szCs w:val="28"/>
        </w:rPr>
        <w:t xml:space="preserve">- </w:t>
      </w:r>
      <w:r w:rsidR="005D3A7B" w:rsidRPr="00134228">
        <w:rPr>
          <w:rFonts w:ascii="Times New Roman" w:hAnsi="Times New Roman" w:cs="Times New Roman"/>
          <w:sz w:val="28"/>
          <w:szCs w:val="28"/>
        </w:rPr>
        <w:t>5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 w:rsidRPr="00134228">
        <w:rPr>
          <w:rFonts w:ascii="Times New Roman" w:hAnsi="Times New Roman" w:cs="Times New Roman"/>
          <w:sz w:val="28"/>
          <w:szCs w:val="28"/>
        </w:rPr>
        <w:t>одпунктом</w:t>
      </w:r>
      <w:r w:rsidRPr="00134228">
        <w:rPr>
          <w:rFonts w:ascii="Times New Roman" w:hAnsi="Times New Roman" w:cs="Times New Roman"/>
          <w:sz w:val="28"/>
          <w:szCs w:val="28"/>
        </w:rPr>
        <w:t xml:space="preserve"> 12 настояще</w:t>
      </w:r>
      <w:r w:rsidR="009A5349" w:rsidRPr="00134228">
        <w:rPr>
          <w:rFonts w:ascii="Times New Roman" w:hAnsi="Times New Roman" w:cs="Times New Roman"/>
          <w:sz w:val="28"/>
          <w:szCs w:val="28"/>
        </w:rPr>
        <w:t>го пункта</w:t>
      </w:r>
      <w:r w:rsidRPr="00134228">
        <w:rPr>
          <w:rFonts w:ascii="Times New Roman" w:hAnsi="Times New Roman" w:cs="Times New Roman"/>
          <w:sz w:val="28"/>
          <w:szCs w:val="28"/>
        </w:rPr>
        <w:t xml:space="preserve">, - </w:t>
      </w:r>
      <w:r w:rsidR="005D3A7B" w:rsidRPr="00134228">
        <w:rPr>
          <w:rFonts w:ascii="Times New Roman" w:hAnsi="Times New Roman" w:cs="Times New Roman"/>
          <w:sz w:val="28"/>
          <w:szCs w:val="28"/>
        </w:rPr>
        <w:t>10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134228" w:rsidRPr="00134228">
        <w:rPr>
          <w:rFonts w:ascii="Times New Roman" w:hAnsi="Times New Roman" w:cs="Times New Roman"/>
          <w:sz w:val="28"/>
          <w:szCs w:val="28"/>
        </w:rPr>
        <w:t>3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</w:t>
      </w:r>
      <w:r w:rsidR="00134228" w:rsidRPr="00134228">
        <w:rPr>
          <w:rFonts w:ascii="Times New Roman" w:hAnsi="Times New Roman" w:cs="Times New Roman"/>
          <w:sz w:val="28"/>
          <w:szCs w:val="28"/>
        </w:rPr>
        <w:t>а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134228" w:rsidRPr="00134228">
        <w:rPr>
          <w:rFonts w:ascii="Times New Roman" w:hAnsi="Times New Roman" w:cs="Times New Roman"/>
          <w:sz w:val="28"/>
          <w:szCs w:val="28"/>
        </w:rPr>
        <w:t>3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</w:t>
      </w:r>
      <w:r w:rsidR="00134228" w:rsidRPr="00134228">
        <w:rPr>
          <w:rFonts w:ascii="Times New Roman" w:hAnsi="Times New Roman" w:cs="Times New Roman"/>
          <w:sz w:val="28"/>
          <w:szCs w:val="28"/>
        </w:rPr>
        <w:t>а</w:t>
      </w:r>
      <w:r w:rsidRPr="00134228">
        <w:rPr>
          <w:rFonts w:ascii="Times New Roman" w:hAnsi="Times New Roman" w:cs="Times New Roman"/>
          <w:sz w:val="28"/>
          <w:szCs w:val="28"/>
        </w:rPr>
        <w:t xml:space="preserve"> по всему периметру от границы земельного участка;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10) для земельных участков, на которых ведется строительство зданий, строений, сооружений, - </w:t>
      </w:r>
      <w:r w:rsidR="00134228" w:rsidRPr="00134228">
        <w:rPr>
          <w:rFonts w:ascii="Times New Roman" w:hAnsi="Times New Roman" w:cs="Times New Roman"/>
          <w:sz w:val="28"/>
          <w:szCs w:val="28"/>
        </w:rPr>
        <w:t>5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Pr="00134228">
        <w:rPr>
          <w:rFonts w:ascii="Times New Roman" w:hAnsi="Times New Roman" w:cs="Times New Roman"/>
          <w:i/>
          <w:sz w:val="28"/>
          <w:szCs w:val="28"/>
        </w:rPr>
        <w:t>(</w:t>
      </w:r>
      <w:r w:rsidRPr="00134228">
        <w:rPr>
          <w:rFonts w:ascii="Times New Roman" w:hAnsi="Times New Roman" w:cs="Times New Roman"/>
          <w:sz w:val="28"/>
          <w:szCs w:val="28"/>
        </w:rPr>
        <w:t>от ограждения строительной площадки по всему периметру;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134228" w:rsidRPr="00134228">
        <w:rPr>
          <w:rFonts w:ascii="Times New Roman" w:hAnsi="Times New Roman" w:cs="Times New Roman"/>
          <w:sz w:val="28"/>
          <w:szCs w:val="28"/>
        </w:rPr>
        <w:t>7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28">
        <w:rPr>
          <w:rFonts w:ascii="Times New Roman" w:hAnsi="Times New Roman" w:cs="Times New Roman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134228" w:rsidRPr="00134228">
        <w:rPr>
          <w:rFonts w:ascii="Times New Roman" w:hAnsi="Times New Roman" w:cs="Times New Roman"/>
          <w:sz w:val="28"/>
          <w:szCs w:val="28"/>
        </w:rPr>
        <w:t>10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от указанных объектов по всему периметру;</w:t>
      </w:r>
    </w:p>
    <w:p w:rsidR="00C76893" w:rsidRPr="00134228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228">
        <w:rPr>
          <w:rFonts w:ascii="Times New Roman" w:hAnsi="Times New Roman" w:cs="Times New Roman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134228" w:rsidRPr="00134228">
        <w:rPr>
          <w:rFonts w:ascii="Times New Roman" w:hAnsi="Times New Roman" w:cs="Times New Roman"/>
          <w:sz w:val="28"/>
          <w:szCs w:val="28"/>
        </w:rPr>
        <w:t>10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Pr="00134228">
        <w:rPr>
          <w:rFonts w:ascii="Times New Roman" w:hAnsi="Times New Roman" w:cs="Times New Roman"/>
          <w:sz w:val="28"/>
          <w:szCs w:val="28"/>
        </w:rPr>
        <w:t xml:space="preserve">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134228" w:rsidRPr="00134228">
        <w:rPr>
          <w:rFonts w:ascii="Times New Roman" w:hAnsi="Times New Roman" w:cs="Times New Roman"/>
          <w:sz w:val="28"/>
          <w:szCs w:val="28"/>
        </w:rPr>
        <w:t>5</w:t>
      </w:r>
      <w:r w:rsidR="000819E0" w:rsidRPr="00134228">
        <w:t xml:space="preserve"> </w:t>
      </w:r>
      <w:r w:rsidR="000819E0" w:rsidRPr="00134228">
        <w:rPr>
          <w:rFonts w:ascii="Times New Roman" w:hAnsi="Times New Roman" w:cs="Times New Roman"/>
          <w:sz w:val="28"/>
          <w:szCs w:val="28"/>
        </w:rPr>
        <w:t>метров</w:t>
      </w:r>
      <w:r w:rsidR="00013616" w:rsidRPr="00134228">
        <w:rPr>
          <w:rFonts w:ascii="Times New Roman" w:hAnsi="Times New Roman" w:cs="Times New Roman"/>
          <w:sz w:val="28"/>
          <w:szCs w:val="28"/>
        </w:rPr>
        <w:t xml:space="preserve"> </w:t>
      </w:r>
      <w:r w:rsidRPr="00134228">
        <w:rPr>
          <w:rFonts w:ascii="Times New Roman" w:hAnsi="Times New Roman" w:cs="Times New Roman"/>
          <w:sz w:val="28"/>
          <w:szCs w:val="28"/>
        </w:rPr>
        <w:t>от 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6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E030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E030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E030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03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7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8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9" w:name="_Hlk14965574"/>
    </w:p>
    <w:bookmarkEnd w:id="9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7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благоустройстве территорий, расположенных на участках холмистого рельефа, крутые склоны могут оборудоваться системой нагорных и водоотводных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996F49">
        <w:rPr>
          <w:rFonts w:ascii="Times New Roman" w:hAnsi="Times New Roman" w:cs="Times New Roman"/>
          <w:iCs/>
          <w:sz w:val="28"/>
          <w:szCs w:val="28"/>
        </w:rPr>
        <w:t>с 1 ноября по 15 апреля</w:t>
      </w:r>
      <w:r w:rsidR="006075DC" w:rsidRPr="00996F49">
        <w:rPr>
          <w:rFonts w:ascii="Times New Roman" w:hAnsi="Times New Roman" w:cs="Times New Roman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996F49">
        <w:rPr>
          <w:rFonts w:ascii="Times New Roman" w:hAnsi="Times New Roman" w:cs="Times New Roman"/>
          <w:iCs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996F49">
        <w:rPr>
          <w:rFonts w:ascii="Times New Roman" w:hAnsi="Times New Roman" w:cs="Times New Roman"/>
          <w:iCs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1" w:name="6"/>
      <w:bookmarkEnd w:id="11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2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3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4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5" w:name="7"/>
      <w:bookmarkEnd w:id="15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 xml:space="preserve">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996F49">
        <w:rPr>
          <w:rFonts w:ascii="Times New Roman" w:hAnsi="Times New Roman" w:cs="Times New Roman"/>
          <w:iCs/>
          <w:sz w:val="28"/>
          <w:szCs w:val="28"/>
        </w:rPr>
        <w:t>с 16 апреля по 31 октября</w:t>
      </w:r>
      <w:r w:rsidR="006075DC" w:rsidRPr="00996F49">
        <w:rPr>
          <w:rFonts w:ascii="Times New Roman" w:hAnsi="Times New Roman" w:cs="Times New Roman"/>
          <w:sz w:val="28"/>
          <w:szCs w:val="28"/>
        </w:rPr>
        <w:t>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996F49">
        <w:rPr>
          <w:rFonts w:ascii="Times New Roman" w:hAnsi="Times New Roman" w:cs="Times New Roman"/>
          <w:iCs/>
          <w:sz w:val="28"/>
          <w:szCs w:val="28"/>
        </w:rPr>
        <w:t>до 1 апреля</w:t>
      </w:r>
      <w:r w:rsidR="006075DC" w:rsidRPr="00996F49">
        <w:rPr>
          <w:rFonts w:ascii="Times New Roman" w:hAnsi="Times New Roman" w:cs="Times New Roman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0"/>
      <w:bookmarkEnd w:id="18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996F49">
        <w:rPr>
          <w:rFonts w:ascii="Times New Roman" w:hAnsi="Times New Roman" w:cs="Times New Roman"/>
          <w:iCs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996F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996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Ширина таблички зависит от количества букв в названии улицы.</w:t>
      </w:r>
    </w:p>
    <w:p w:rsidR="006075DC" w:rsidRPr="00996F4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49">
        <w:rPr>
          <w:rFonts w:ascii="Times New Roman" w:hAnsi="Times New Roman" w:cs="Times New Roman"/>
          <w:sz w:val="28"/>
          <w:szCs w:val="28"/>
        </w:rPr>
        <w:t xml:space="preserve">Табличка выполняется </w:t>
      </w:r>
      <w:r w:rsidRPr="00996F49">
        <w:rPr>
          <w:rFonts w:ascii="Times New Roman" w:hAnsi="Times New Roman" w:cs="Times New Roman"/>
          <w:iCs/>
          <w:sz w:val="28"/>
          <w:szCs w:val="28"/>
        </w:rPr>
        <w:t>в белом</w:t>
      </w:r>
      <w:r w:rsidRPr="00996F49">
        <w:rPr>
          <w:rFonts w:ascii="Times New Roman" w:hAnsi="Times New Roman" w:cs="Times New Roman"/>
          <w:sz w:val="28"/>
          <w:szCs w:val="28"/>
        </w:rPr>
        <w:t xml:space="preserve"> цвете. По периметру таблички располагается </w:t>
      </w:r>
      <w:r w:rsidRPr="00E0309F">
        <w:rPr>
          <w:rFonts w:ascii="Times New Roman" w:hAnsi="Times New Roman" w:cs="Times New Roman"/>
          <w:iCs/>
          <w:sz w:val="28"/>
          <w:szCs w:val="28"/>
        </w:rPr>
        <w:t>черная</w:t>
      </w:r>
      <w:r w:rsidRPr="00996F49">
        <w:rPr>
          <w:rFonts w:ascii="Times New Roman" w:hAnsi="Times New Roman" w:cs="Times New Roman"/>
          <w:sz w:val="28"/>
          <w:szCs w:val="28"/>
        </w:rPr>
        <w:t xml:space="preserve"> рамка шириной </w:t>
      </w:r>
      <w:r w:rsidRPr="00996F49">
        <w:rPr>
          <w:rFonts w:ascii="Times New Roman" w:hAnsi="Times New Roman" w:cs="Times New Roman"/>
          <w:iCs/>
          <w:sz w:val="28"/>
          <w:szCs w:val="28"/>
        </w:rPr>
        <w:t>10 мм</w:t>
      </w:r>
      <w:r w:rsidRPr="00996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5DC" w:rsidRPr="00996F4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</w:t>
      </w:r>
      <w:r w:rsidRPr="00996F49">
        <w:rPr>
          <w:rFonts w:ascii="Times New Roman" w:hAnsi="Times New Roman" w:cs="Times New Roman"/>
          <w:iCs/>
          <w:sz w:val="28"/>
          <w:szCs w:val="28"/>
        </w:rPr>
        <w:t>в черном цвете</w:t>
      </w:r>
      <w:r w:rsidRPr="00996F49">
        <w:rPr>
          <w:rFonts w:ascii="Times New Roman" w:hAnsi="Times New Roman" w:cs="Times New Roman"/>
          <w:sz w:val="28"/>
          <w:szCs w:val="28"/>
        </w:rPr>
        <w:t xml:space="preserve">. Шрифт названия улиц на русском языке, высота заглавных букв – </w:t>
      </w:r>
      <w:r w:rsidRPr="00996F49">
        <w:rPr>
          <w:rFonts w:ascii="Times New Roman" w:hAnsi="Times New Roman" w:cs="Times New Roman"/>
          <w:iCs/>
          <w:sz w:val="28"/>
          <w:szCs w:val="28"/>
        </w:rPr>
        <w:t>90 мм</w:t>
      </w:r>
      <w:r w:rsidRPr="00996F49">
        <w:rPr>
          <w:rFonts w:ascii="Times New Roman" w:hAnsi="Times New Roman" w:cs="Times New Roman"/>
          <w:sz w:val="28"/>
          <w:szCs w:val="28"/>
        </w:rPr>
        <w:t xml:space="preserve">. Высота шрифта номера дома – </w:t>
      </w:r>
      <w:r w:rsidRPr="00996F49">
        <w:rPr>
          <w:rFonts w:ascii="Times New Roman" w:hAnsi="Times New Roman" w:cs="Times New Roman"/>
          <w:iCs/>
          <w:sz w:val="28"/>
          <w:szCs w:val="28"/>
        </w:rPr>
        <w:t>140 мм</w:t>
      </w:r>
      <w:r w:rsidRPr="00996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996F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19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996F49">
        <w:rPr>
          <w:rFonts w:ascii="Times New Roman" w:hAnsi="Times New Roman" w:cs="Times New Roman"/>
          <w:iCs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996F49">
        <w:rPr>
          <w:rFonts w:ascii="Times New Roman" w:hAnsi="Times New Roman" w:cs="Times New Roman"/>
          <w:iCs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0" w:name="_Hlk14967236"/>
    </w:p>
    <w:bookmarkEnd w:id="20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996F49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996F49">
        <w:rPr>
          <w:rFonts w:ascii="Times New Roman" w:hAnsi="Times New Roman" w:cs="Times New Roman"/>
          <w:iCs/>
          <w:sz w:val="28"/>
          <w:szCs w:val="28"/>
        </w:rPr>
        <w:t>не более 0,6 м</w:t>
      </w:r>
      <w:r w:rsidRPr="00996F49">
        <w:rPr>
          <w:rFonts w:ascii="Times New Roman" w:hAnsi="Times New Roman" w:cs="Times New Roman"/>
          <w:sz w:val="28"/>
          <w:szCs w:val="28"/>
        </w:rPr>
        <w:t xml:space="preserve">, по вертикали - </w:t>
      </w:r>
      <w:r w:rsidRPr="00996F49">
        <w:rPr>
          <w:rFonts w:ascii="Times New Roman" w:hAnsi="Times New Roman" w:cs="Times New Roman"/>
          <w:iCs/>
          <w:sz w:val="28"/>
          <w:szCs w:val="28"/>
        </w:rPr>
        <w:t>не более 0,4 м</w:t>
      </w:r>
      <w:r w:rsidRPr="00996F49">
        <w:rPr>
          <w:rFonts w:ascii="Times New Roman" w:hAnsi="Times New Roman" w:cs="Times New Roman"/>
          <w:sz w:val="28"/>
          <w:szCs w:val="28"/>
        </w:rPr>
        <w:t xml:space="preserve">. Высота букв, знаков, размещаемых на вывеске, - </w:t>
      </w:r>
      <w:r w:rsidRPr="00996F49">
        <w:rPr>
          <w:rFonts w:ascii="Times New Roman" w:hAnsi="Times New Roman" w:cs="Times New Roman"/>
          <w:iCs/>
          <w:sz w:val="28"/>
          <w:szCs w:val="28"/>
        </w:rPr>
        <w:t>не более 0,1 м</w:t>
      </w:r>
      <w:r w:rsidRPr="00996F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996F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99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этажа (линии перекрытий между </w:t>
      </w:r>
      <w:r w:rsidRPr="00996F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996F49">
        <w:rPr>
          <w:rFonts w:ascii="Times New Roman" w:hAnsi="Times New Roman" w:cs="Times New Roman"/>
          <w:iCs/>
          <w:sz w:val="28"/>
          <w:szCs w:val="28"/>
        </w:rPr>
        <w:t>0,5 м</w:t>
      </w:r>
      <w:r w:rsidRPr="00996F49">
        <w:rPr>
          <w:rFonts w:ascii="Times New Roman" w:hAnsi="Times New Roman" w:cs="Times New Roman"/>
          <w:sz w:val="28"/>
          <w:szCs w:val="28"/>
        </w:rPr>
        <w:t xml:space="preserve"> (по высоте) и </w:t>
      </w:r>
      <w:r w:rsidRPr="00996F49">
        <w:rPr>
          <w:rFonts w:ascii="Times New Roman" w:hAnsi="Times New Roman" w:cs="Times New Roman"/>
          <w:iCs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996F49">
        <w:rPr>
          <w:rFonts w:ascii="Times New Roman" w:hAnsi="Times New Roman" w:cs="Times New Roman"/>
          <w:iCs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996F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 </w:t>
      </w:r>
      <w:r w:rsidR="001A0B47" w:rsidRPr="00996F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м</w:t>
      </w:r>
      <w:r w:rsidR="001A0B47" w:rsidRPr="00996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Расстояние от уровня земли до нижнего края консольной конструкции должно быть не менее </w:t>
      </w:r>
      <w:r w:rsidR="001A0B47" w:rsidRPr="00996F4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996F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996F49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6F4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996F49">
        <w:rPr>
          <w:rFonts w:ascii="Times New Roman" w:hAnsi="Times New Roman" w:cs="Times New Roman"/>
          <w:iCs/>
          <w:sz w:val="28"/>
          <w:szCs w:val="28"/>
        </w:rPr>
        <w:t xml:space="preserve">0,8 м </w:t>
      </w:r>
      <w:r w:rsidRPr="00996F49">
        <w:rPr>
          <w:rFonts w:ascii="Times New Roman" w:hAnsi="Times New Roman" w:cs="Times New Roman"/>
          <w:sz w:val="28"/>
          <w:szCs w:val="28"/>
        </w:rPr>
        <w:t>для 1-2-этажных объектов;</w:t>
      </w:r>
    </w:p>
    <w:p w:rsidR="001A0B47" w:rsidRPr="00996F49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F49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Pr="00996F49">
        <w:rPr>
          <w:rFonts w:ascii="Times New Roman" w:hAnsi="Times New Roman" w:cs="Times New Roman"/>
          <w:iCs/>
          <w:sz w:val="28"/>
          <w:szCs w:val="28"/>
        </w:rPr>
        <w:t>1,2 м</w:t>
      </w:r>
      <w:r w:rsidRPr="00996F49">
        <w:rPr>
          <w:rFonts w:ascii="Times New Roman" w:hAnsi="Times New Roman" w:cs="Times New Roman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4D0C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4D0C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 суток</w:t>
      </w:r>
      <w:r w:rsidR="001A0B47" w:rsidRPr="004D0C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ограждений, изготовленных из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проектировании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дорожки крупных озелененных территорий и территорий рекреационного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500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500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500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Разделительные элементы на парковках (парковочных местах) могут быть выполнены в виде разметки (белых полос), озелененных полос (газонов),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500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5005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5005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="004D0C4F" w:rsidRPr="004D0C4F">
        <w:rPr>
          <w:rFonts w:ascii="Times New Roman" w:hAnsi="Times New Roman" w:cs="Times New Roman"/>
          <w:iCs/>
          <w:sz w:val="28"/>
          <w:szCs w:val="28"/>
        </w:rPr>
        <w:t>5</w:t>
      </w:r>
      <w:r w:rsidRPr="004D0C4F">
        <w:rPr>
          <w:rFonts w:ascii="Times New Roman" w:hAnsi="Times New Roman" w:cs="Times New Roman"/>
          <w:iCs/>
          <w:sz w:val="28"/>
          <w:szCs w:val="28"/>
        </w:rPr>
        <w:t>00</w:t>
      </w:r>
      <w:r w:rsidRPr="004D0C4F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4D0C4F">
        <w:rPr>
          <w:rFonts w:ascii="Times New Roman" w:hAnsi="Times New Roman" w:cs="Times New Roman"/>
          <w:iCs/>
          <w:sz w:val="28"/>
          <w:szCs w:val="28"/>
        </w:rPr>
        <w:t>1,5 м</w:t>
      </w:r>
      <w:r w:rsidR="00512092" w:rsidRPr="004D0C4F">
        <w:rPr>
          <w:rFonts w:ascii="Times New Roman" w:hAnsi="Times New Roman" w:cs="Times New Roman"/>
          <w:sz w:val="28"/>
          <w:szCs w:val="28"/>
        </w:rPr>
        <w:t>.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1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1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E34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2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2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</w:t>
      </w:r>
      <w:r w:rsidRPr="00E0309F">
        <w:rPr>
          <w:rFonts w:ascii="Times New Roman" w:hAnsi="Times New Roman" w:cs="Times New Roman"/>
          <w:sz w:val="28"/>
          <w:szCs w:val="28"/>
        </w:rPr>
        <w:t xml:space="preserve"> </w:t>
      </w:r>
      <w:r w:rsidRPr="00E0309F">
        <w:rPr>
          <w:rFonts w:ascii="Times New Roman" w:hAnsi="Times New Roman" w:cs="Times New Roman"/>
          <w:iCs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0309F">
        <w:rPr>
          <w:rFonts w:ascii="Times New Roman" w:hAnsi="Times New Roman" w:cs="Times New Roman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052688" w:rsidRDefault="004B0796" w:rsidP="00052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DD0E5D">
        <w:rPr>
          <w:rFonts w:ascii="Times New Roman" w:hAnsi="Times New Roman" w:cs="Times New Roman"/>
          <w:color w:val="000000"/>
          <w:sz w:val="28"/>
          <w:szCs w:val="20"/>
        </w:rPr>
        <w:t xml:space="preserve">      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№ 248-ФЗ «О государственном контроле (надзоре) и муниципальном контроле в Российской Федерации», решением </w:t>
      </w:r>
      <w:r w:rsidR="00052688">
        <w:rPr>
          <w:rFonts w:ascii="Times New Roman" w:hAnsi="Times New Roman" w:cs="Times New Roman"/>
          <w:color w:val="000000"/>
          <w:sz w:val="28"/>
          <w:szCs w:val="20"/>
        </w:rPr>
        <w:t xml:space="preserve">Совета депутатов </w:t>
      </w:r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>Мурыгинского сельского поселения</w:t>
      </w:r>
      <w:r w:rsidR="0005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Починковского</w:t>
      </w:r>
      <w:proofErr w:type="spellEnd"/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="0005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052688">
        <w:rPr>
          <w:rFonts w:ascii="Times New Roman" w:hAnsi="Times New Roman" w:cs="Times New Roman"/>
          <w:color w:val="000000"/>
          <w:sz w:val="28"/>
          <w:szCs w:val="20"/>
        </w:rPr>
        <w:t xml:space="preserve">16.11.2021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года № </w:t>
      </w:r>
      <w:r w:rsidR="00052688">
        <w:rPr>
          <w:rFonts w:ascii="Times New Roman" w:hAnsi="Times New Roman" w:cs="Times New Roman"/>
          <w:color w:val="000000"/>
          <w:sz w:val="28"/>
          <w:szCs w:val="20"/>
        </w:rPr>
        <w:t>28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</w:t>
      </w:r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в сфере</w:t>
      </w:r>
      <w:r w:rsidR="0005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на территории</w:t>
      </w:r>
      <w:r w:rsidR="00052688" w:rsidRPr="00052688">
        <w:rPr>
          <w:rFonts w:ascii="Times New Roman" w:hAnsi="Times New Roman" w:cs="Times New Roman"/>
          <w:bCs/>
          <w:color w:val="000000"/>
        </w:rPr>
        <w:t xml:space="preserve"> </w:t>
      </w:r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>Мурыгинского сельского поселения</w:t>
      </w:r>
      <w:r w:rsidR="0005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Починковского</w:t>
      </w:r>
      <w:proofErr w:type="spellEnd"/>
      <w:r w:rsidR="00052688" w:rsidRPr="0005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="000526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осуществляется муниципальный</w:t>
      </w:r>
      <w:r w:rsidR="0005268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  <w:proofErr w:type="gramEnd"/>
    </w:p>
    <w:p w:rsidR="00E01242" w:rsidRPr="00E01242" w:rsidRDefault="004B0796" w:rsidP="00052688">
      <w:pPr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696B6C" w:rsidRDefault="00817D07" w:rsidP="00696B6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Приложение</w:t>
      </w:r>
    </w:p>
    <w:p w:rsidR="00817D07" w:rsidRPr="00052688" w:rsidRDefault="00817D07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52688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052688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052688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</w:p>
    <w:p w:rsidR="00817D07" w:rsidRPr="00696B6C" w:rsidRDefault="00052688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2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Мурыгинского сельского поселения </w:t>
      </w:r>
      <w:proofErr w:type="spellStart"/>
      <w:r w:rsidRPr="00052688">
        <w:rPr>
          <w:rFonts w:ascii="Times New Roman" w:hAnsi="Times New Roman" w:cs="Times New Roman"/>
          <w:bCs/>
          <w:color w:val="000000"/>
          <w:sz w:val="24"/>
          <w:szCs w:val="24"/>
        </w:rPr>
        <w:t>Починковского</w:t>
      </w:r>
      <w:proofErr w:type="spellEnd"/>
      <w:r w:rsidRPr="00052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Смоленской области</w:t>
      </w:r>
      <w:r w:rsidR="00696B6C" w:rsidRPr="00052688">
        <w:rPr>
          <w:rFonts w:ascii="Times New Roman" w:hAnsi="Times New Roman" w:cs="Times New Roman"/>
          <w:sz w:val="24"/>
          <w:szCs w:val="24"/>
        </w:rPr>
        <w:t>,</w:t>
      </w:r>
    </w:p>
    <w:p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5268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6C" w:rsidRPr="00052688" w:rsidRDefault="00052688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2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Мурыгинского сельского поселения </w:t>
      </w:r>
      <w:proofErr w:type="spellStart"/>
      <w:r w:rsidRPr="00052688">
        <w:rPr>
          <w:rFonts w:ascii="Times New Roman" w:hAnsi="Times New Roman" w:cs="Times New Roman"/>
          <w:bCs/>
          <w:color w:val="000000"/>
          <w:sz w:val="24"/>
          <w:szCs w:val="24"/>
        </w:rPr>
        <w:t>Починковского</w:t>
      </w:r>
      <w:proofErr w:type="spellEnd"/>
      <w:r w:rsidRPr="000526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Смоленской области</w:t>
      </w:r>
      <w:r w:rsidRPr="0005268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696B6C" w:rsidRPr="00696B6C" w:rsidRDefault="00696B6C" w:rsidP="00696B6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от _________ № ____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052688" w:rsidRPr="00052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МУРЫГИНСКОГО СЕЛЬСКОГО ПОСЕЛЕНИЯ ПОЧИНКОВСКОГО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0F48AD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Технический </w:t>
      </w:r>
      <w:hyperlink r:id="rId95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GoBack"/>
      <w:bookmarkEnd w:id="23"/>
    </w:p>
    <w:sectPr w:rsidR="00CA5ED6" w:rsidRPr="00817D07" w:rsidSect="00E87C48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43" w:rsidRDefault="00A03943" w:rsidP="00F271B1">
      <w:pPr>
        <w:spacing w:after="0" w:line="240" w:lineRule="auto"/>
      </w:pPr>
      <w:r>
        <w:separator/>
      </w:r>
    </w:p>
  </w:endnote>
  <w:endnote w:type="continuationSeparator" w:id="0">
    <w:p w:rsidR="00A03943" w:rsidRDefault="00A0394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7B" w:rsidRDefault="005D3A7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7B" w:rsidRDefault="005D3A7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7B" w:rsidRDefault="005D3A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43" w:rsidRDefault="00A03943" w:rsidP="00F271B1">
      <w:pPr>
        <w:spacing w:after="0" w:line="240" w:lineRule="auto"/>
      </w:pPr>
      <w:r>
        <w:separator/>
      </w:r>
    </w:p>
  </w:footnote>
  <w:footnote w:type="continuationSeparator" w:id="0">
    <w:p w:rsidR="00A03943" w:rsidRDefault="00A0394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7B" w:rsidRDefault="005D3A7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3A7B" w:rsidRDefault="005D3A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7B" w:rsidRDefault="005D3A7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309F">
      <w:rPr>
        <w:rStyle w:val="ab"/>
        <w:noProof/>
      </w:rPr>
      <w:t>57</w:t>
    </w:r>
    <w:r>
      <w:rPr>
        <w:rStyle w:val="ab"/>
      </w:rPr>
      <w:fldChar w:fldCharType="end"/>
    </w:r>
  </w:p>
  <w:p w:rsidR="005D3A7B" w:rsidRDefault="005D3A7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7B" w:rsidRDefault="005D3A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688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D5C93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0F48A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4228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BF1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628D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0C4F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3A7B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56D6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3C03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860E9"/>
    <w:rsid w:val="0099096F"/>
    <w:rsid w:val="0099105E"/>
    <w:rsid w:val="00993988"/>
    <w:rsid w:val="00994C52"/>
    <w:rsid w:val="00994ECE"/>
    <w:rsid w:val="009951F1"/>
    <w:rsid w:val="0099565B"/>
    <w:rsid w:val="00996F49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943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40E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BF7E8A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4E48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6B5B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0309F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427B"/>
    <w:rsid w:val="00E35538"/>
    <w:rsid w:val="00E400D7"/>
    <w:rsid w:val="00E4107A"/>
    <w:rsid w:val="00E42766"/>
    <w:rsid w:val="00E44090"/>
    <w:rsid w:val="00E443D2"/>
    <w:rsid w:val="00E45E21"/>
    <w:rsid w:val="00E462BF"/>
    <w:rsid w:val="00E50051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B6E24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100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97" Type="http://schemas.openxmlformats.org/officeDocument/2006/relationships/header" Target="header2.xm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63003-4B43-4D36-8680-F407875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23835</Words>
  <Characters>135865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Администрация</cp:lastModifiedBy>
  <cp:revision>11</cp:revision>
  <cp:lastPrinted>2022-10-31T06:00:00Z</cp:lastPrinted>
  <dcterms:created xsi:type="dcterms:W3CDTF">2022-10-13T12:29:00Z</dcterms:created>
  <dcterms:modified xsi:type="dcterms:W3CDTF">2022-11-01T06:34:00Z</dcterms:modified>
</cp:coreProperties>
</file>